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670C" w:rsidRPr="002B09E8" w:rsidRDefault="00DE670C" w:rsidP="002B09E8">
      <w:pPr>
        <w:pStyle w:val="NormalWeb"/>
        <w:spacing w:before="0" w:beforeAutospacing="0" w:after="0" w:afterAutospacing="0"/>
        <w:jc w:val="center"/>
        <w:rPr>
          <w:rFonts w:ascii="Helvetica" w:eastAsiaTheme="minorHAnsi" w:hAnsi="Helvetica"/>
          <w:b/>
          <w:bCs/>
          <w:noProof/>
          <w:kern w:val="2"/>
          <w:lang w:val="sr-Latn-RS" w:eastAsia="en-US"/>
          <w14:ligatures w14:val="standardContextual"/>
        </w:rPr>
      </w:pPr>
      <w:r w:rsidRPr="002B09E8">
        <w:rPr>
          <w:rFonts w:ascii="Helvetica" w:eastAsiaTheme="minorHAnsi" w:hAnsi="Helvetica"/>
          <w:b/>
          <w:bCs/>
          <w:noProof/>
          <w:kern w:val="2"/>
          <w:lang w:val="sr-Cyrl-RS" w:eastAsia="en-US"/>
          <w14:ligatures w14:val="standardContextual"/>
        </w:rPr>
        <w:t>PREDUZETNIŠTVO</w:t>
      </w:r>
    </w:p>
    <w:p w:rsidR="00DE670C" w:rsidRPr="00DE670C" w:rsidRDefault="00DE670C" w:rsidP="00DE670C">
      <w:pPr>
        <w:pStyle w:val="NormalWeb"/>
        <w:spacing w:before="0" w:beforeAutospacing="0" w:after="0" w:afterAutospacing="0"/>
        <w:jc w:val="both"/>
        <w:rPr>
          <w:rFonts w:ascii="Helvetica" w:eastAsiaTheme="minorHAnsi" w:hAnsi="Helvetica"/>
          <w:b/>
          <w:bCs/>
          <w:noProof/>
          <w:kern w:val="2"/>
          <w:sz w:val="22"/>
          <w:szCs w:val="22"/>
          <w:lang w:val="sr-Latn-RS" w:eastAsia="en-US"/>
          <w14:ligatures w14:val="standardContextual"/>
        </w:rPr>
      </w:pPr>
    </w:p>
    <w:p w:rsidR="00DE670C" w:rsidRPr="00DE670C" w:rsidRDefault="00DE670C" w:rsidP="00DE670C">
      <w:pPr>
        <w:rPr>
          <w:rFonts w:ascii="Helvetica" w:hAnsi="Helvetica"/>
          <w:sz w:val="20"/>
          <w:szCs w:val="20"/>
          <w:lang w:val="sr-Latn-RS"/>
        </w:rPr>
      </w:pPr>
      <w:r w:rsidRPr="00DE670C">
        <w:rPr>
          <w:rFonts w:ascii="Helvetica" w:hAnsi="Helvetica"/>
          <w:sz w:val="20"/>
          <w:szCs w:val="20"/>
          <w:lang w:val="sr-Latn-RS"/>
        </w:rPr>
        <w:t>Autor: Prof. dr Jelena Erić Nielsen</w:t>
      </w:r>
    </w:p>
    <w:p w:rsidR="00DE670C" w:rsidRPr="00DE670C" w:rsidRDefault="00DE670C" w:rsidP="00DE670C">
      <w:pPr>
        <w:rPr>
          <w:rFonts w:ascii="Helvetica" w:hAnsi="Helvetica"/>
          <w:sz w:val="20"/>
          <w:szCs w:val="20"/>
          <w:lang w:val="sr-Latn-RS"/>
        </w:rPr>
      </w:pPr>
      <w:r w:rsidRPr="00DE670C">
        <w:rPr>
          <w:rFonts w:ascii="Helvetica" w:hAnsi="Helvetica"/>
          <w:sz w:val="20"/>
          <w:szCs w:val="20"/>
          <w:lang w:val="sr-Latn-RS"/>
        </w:rPr>
        <w:t>Godina izdanja: 2024</w:t>
      </w:r>
    </w:p>
    <w:p w:rsidR="00DE670C" w:rsidRPr="00DE670C" w:rsidRDefault="00DE670C" w:rsidP="00DE670C">
      <w:pPr>
        <w:pStyle w:val="NormalWeb"/>
        <w:spacing w:before="0" w:beforeAutospacing="0" w:after="0" w:afterAutospacing="0"/>
        <w:rPr>
          <w:rFonts w:ascii="Helvetica" w:hAnsi="Helvetica"/>
          <w:sz w:val="20"/>
          <w:szCs w:val="20"/>
          <w:lang w:val="sr-Latn-RS"/>
        </w:rPr>
      </w:pPr>
      <w:r w:rsidRPr="00DE670C">
        <w:rPr>
          <w:rFonts w:ascii="Helvetica" w:hAnsi="Helvetica"/>
          <w:sz w:val="20"/>
          <w:szCs w:val="20"/>
          <w:lang w:val="sr-Latn-RS"/>
        </w:rPr>
        <w:t>ISBN: 978-86-6091-148-5</w:t>
      </w:r>
    </w:p>
    <w:p w:rsidR="00DE670C" w:rsidRPr="00DE670C" w:rsidRDefault="00DE670C" w:rsidP="00DE670C">
      <w:pPr>
        <w:pStyle w:val="NormalWeb"/>
        <w:spacing w:before="0" w:beforeAutospacing="0" w:after="0" w:afterAutospacing="0"/>
        <w:rPr>
          <w:rFonts w:ascii="Helvetica" w:hAnsi="Helvetica"/>
          <w:lang w:val="sr-Latn-RS"/>
        </w:rPr>
      </w:pPr>
    </w:p>
    <w:p w:rsidR="00DE670C" w:rsidRDefault="00DE670C" w:rsidP="00DE670C">
      <w:pPr>
        <w:pStyle w:val="NormalWeb"/>
        <w:spacing w:before="0" w:beforeAutospacing="0" w:after="0" w:afterAutospacing="0"/>
        <w:jc w:val="both"/>
        <w:rPr>
          <w:rFonts w:ascii="Helvetica" w:eastAsiaTheme="minorHAnsi" w:hAnsi="Helvetica"/>
          <w:noProof/>
          <w:kern w:val="2"/>
          <w:sz w:val="22"/>
          <w:szCs w:val="22"/>
          <w:lang w:val="sr-Latn-RS" w:eastAsia="en-US"/>
          <w14:ligatures w14:val="standardContextual"/>
        </w:rPr>
      </w:pPr>
      <w:r w:rsidRPr="00DE670C">
        <w:rPr>
          <w:rFonts w:ascii="Helvetica" w:eastAsiaTheme="minorHAnsi" w:hAnsi="Helvetica"/>
          <w:i/>
          <w:iCs/>
          <w:noProof/>
          <w:kern w:val="2"/>
          <w:sz w:val="22"/>
          <w:szCs w:val="22"/>
          <w:lang w:val="sr-Cyrl-RS" w:eastAsia="en-US"/>
          <w14:ligatures w14:val="standardContextual"/>
        </w:rPr>
        <w:t>Preduzetništvo</w:t>
      </w:r>
      <w:r w:rsidRPr="00DE670C">
        <w:rPr>
          <w:rFonts w:ascii="Helvetica" w:eastAsiaTheme="minorHAnsi" w:hAnsi="Helvetica"/>
          <w:noProof/>
          <w:kern w:val="2"/>
          <w:sz w:val="22"/>
          <w:szCs w:val="22"/>
          <w:lang w:val="sr-Cyrl-RS" w:eastAsia="en-US"/>
          <w14:ligatures w14:val="standardContextual"/>
        </w:rPr>
        <w:t xml:space="preserve"> je sveobuhvatni, praktični i naučno utemeljen vodič za sve koji razmišljaju o započinjanju sopstvenog poduhvata. Knjiga opisuje faze preduzetničkog procesa, od identifikovanja kreativne poslovne šanse, planiranja i generisanja resursa, preko osnivanja poduhvata i definisanja optimalnog poslovnog modela, do strategijskog upravljanja rastom malog biznisa. </w:t>
      </w:r>
    </w:p>
    <w:p w:rsidR="00DE670C" w:rsidRPr="00DE670C" w:rsidRDefault="00DE670C" w:rsidP="00DE670C">
      <w:pPr>
        <w:pStyle w:val="NormalWeb"/>
        <w:spacing w:before="0" w:beforeAutospacing="0" w:after="0" w:afterAutospacing="0"/>
        <w:jc w:val="both"/>
        <w:rPr>
          <w:rFonts w:ascii="Helvetica" w:eastAsiaTheme="minorHAnsi" w:hAnsi="Helvetica"/>
          <w:noProof/>
          <w:kern w:val="2"/>
          <w:sz w:val="22"/>
          <w:szCs w:val="22"/>
          <w:lang w:val="sr-Latn-RS" w:eastAsia="en-US"/>
          <w14:ligatures w14:val="standardContextual"/>
        </w:rPr>
      </w:pPr>
    </w:p>
    <w:p w:rsidR="00DE670C" w:rsidRDefault="00DE670C" w:rsidP="00DE670C">
      <w:pPr>
        <w:pStyle w:val="NormalWeb"/>
        <w:spacing w:before="0" w:beforeAutospacing="0" w:after="0" w:afterAutospacing="0"/>
        <w:jc w:val="both"/>
        <w:rPr>
          <w:rFonts w:ascii="Helvetica" w:eastAsiaTheme="minorHAnsi" w:hAnsi="Helvetica"/>
          <w:noProof/>
          <w:kern w:val="2"/>
          <w:sz w:val="22"/>
          <w:szCs w:val="22"/>
          <w:lang w:val="sr-Latn-RS" w:eastAsia="en-US"/>
          <w14:ligatures w14:val="standardContextual"/>
        </w:rPr>
      </w:pPr>
      <w:r w:rsidRPr="00DE670C">
        <w:rPr>
          <w:rFonts w:ascii="Helvetica" w:eastAsiaTheme="minorHAnsi" w:hAnsi="Helvetica"/>
          <w:noProof/>
          <w:kern w:val="2"/>
          <w:sz w:val="22"/>
          <w:szCs w:val="22"/>
          <w:lang w:val="sr-Cyrl-RS" w:eastAsia="en-US"/>
          <w14:ligatures w14:val="standardContextual"/>
        </w:rPr>
        <w:t>Struktura udžbenika obuhvata 20 tematskih poglavlja planski i sistematski objedinjenih u četiri dela. Koncipiran je logično, saglasno redosledu aktivnosti, sa ciljem da pruži podršku preduzetniku kroz svake faze preduzetničkog procesa,  predstavlja ključ za kreiranje i uspešno upravljanje kompanijom. Udžbenik doprinosi razvoju preduzetništva u domaćoj naučnoj i stručnoj literaturi, čineći veoma značajnu temu učini lakšom za savladavanje.</w:t>
      </w:r>
    </w:p>
    <w:p w:rsidR="00DE670C" w:rsidRPr="00DE670C" w:rsidRDefault="00DE670C" w:rsidP="00DE670C">
      <w:pPr>
        <w:pStyle w:val="NormalWeb"/>
        <w:spacing w:before="0" w:beforeAutospacing="0" w:after="0" w:afterAutospacing="0"/>
        <w:jc w:val="both"/>
        <w:rPr>
          <w:rFonts w:ascii="Helvetica" w:eastAsiaTheme="minorHAnsi" w:hAnsi="Helvetica"/>
          <w:noProof/>
          <w:kern w:val="2"/>
          <w:sz w:val="22"/>
          <w:szCs w:val="22"/>
          <w:lang w:val="sr-Latn-RS" w:eastAsia="en-US"/>
          <w14:ligatures w14:val="standardContextual"/>
        </w:rPr>
      </w:pPr>
    </w:p>
    <w:p w:rsidR="000633D6" w:rsidRDefault="00DE670C" w:rsidP="00DE670C">
      <w:pPr>
        <w:pStyle w:val="NormalWeb"/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eastAsiaTheme="minorHAnsi" w:hAnsi="Helvetica"/>
          <w:noProof/>
          <w:kern w:val="2"/>
          <w:sz w:val="22"/>
          <w:szCs w:val="22"/>
          <w:lang w:val="sr-Cyrl-RS" w:eastAsia="en-US"/>
          <w14:ligatures w14:val="standardContextual"/>
        </w:rPr>
        <w:t>Osim naučne i stručne, knjiga ima snažnu aplikativnu dimenziju:</w:t>
      </w:r>
      <w:r w:rsidR="000633D6" w:rsidRPr="00DE670C">
        <w:rPr>
          <w:rFonts w:ascii="Helvetica" w:hAnsi="Helvetica"/>
          <w:sz w:val="22"/>
          <w:szCs w:val="22"/>
          <w:lang w:val="sr-Latn-RS"/>
        </w:rPr>
        <w:t>spektar primera iz prakse prikazanih kroz više od 25 studija slučaja, 108 grafičkih prikaza, 165 ilustracija i posebnih priloga, pregled 300 ključnih pojmova, 200 pitanja za diskusiju i 60 zadataka za vežbu</w:t>
      </w:r>
      <w:r>
        <w:rPr>
          <w:rFonts w:ascii="Helvetica" w:hAnsi="Helvetica"/>
          <w:sz w:val="22"/>
          <w:szCs w:val="22"/>
          <w:lang w:val="sr-Latn-RS"/>
        </w:rPr>
        <w:t>. U knjizi su detaljno obrađene sledeće teme</w:t>
      </w:r>
    </w:p>
    <w:p w:rsidR="00DE670C" w:rsidRPr="00DE670C" w:rsidRDefault="00DE670C" w:rsidP="00DE670C">
      <w:pPr>
        <w:pStyle w:val="NormalWeb"/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</w:p>
    <w:p w:rsidR="00DE670C" w:rsidRPr="00DE670C" w:rsidRDefault="00DE670C" w:rsidP="00DE670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hAnsi="Helvetica"/>
          <w:sz w:val="22"/>
          <w:szCs w:val="22"/>
          <w:lang w:val="sr-Latn-RS"/>
        </w:rPr>
        <w:t>“korak po korak“ instrukcije za pisanje detaljnog biznis plana, kroz šest tematskih poglavlja na 170 strana</w:t>
      </w:r>
    </w:p>
    <w:p w:rsidR="000633D6" w:rsidRPr="00DE670C" w:rsidRDefault="000633D6" w:rsidP="00DE670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hAnsi="Helvetica"/>
          <w:sz w:val="22"/>
          <w:szCs w:val="22"/>
          <w:lang w:val="sr-Latn-RS"/>
        </w:rPr>
        <w:t>postupak razvoja tehnološkog start-</w:t>
      </w:r>
      <w:proofErr w:type="spellStart"/>
      <w:r w:rsidRPr="00DE670C">
        <w:rPr>
          <w:rFonts w:ascii="Helvetica" w:hAnsi="Helvetica"/>
          <w:sz w:val="22"/>
          <w:szCs w:val="22"/>
          <w:lang w:val="sr-Latn-RS"/>
        </w:rPr>
        <w:t>up</w:t>
      </w:r>
      <w:proofErr w:type="spellEnd"/>
      <w:r w:rsidRPr="00DE670C">
        <w:rPr>
          <w:rFonts w:ascii="Helvetica" w:hAnsi="Helvetica"/>
          <w:sz w:val="22"/>
          <w:szCs w:val="22"/>
          <w:lang w:val="sr-Latn-RS"/>
        </w:rPr>
        <w:t xml:space="preserve"> poduhvata</w:t>
      </w:r>
    </w:p>
    <w:p w:rsidR="000633D6" w:rsidRPr="00DE670C" w:rsidRDefault="000633D6" w:rsidP="00DE670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hAnsi="Helvetica"/>
          <w:sz w:val="22"/>
          <w:szCs w:val="22"/>
          <w:lang w:val="sr-Latn-RS"/>
        </w:rPr>
        <w:t>tehnike izrade i testiranja prototipa;</w:t>
      </w:r>
    </w:p>
    <w:p w:rsidR="000633D6" w:rsidRPr="00DE670C" w:rsidRDefault="000633D6" w:rsidP="00DE670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hAnsi="Helvetica"/>
          <w:sz w:val="22"/>
          <w:szCs w:val="22"/>
          <w:lang w:val="sr-Latn-RS"/>
        </w:rPr>
        <w:t>smernice za kreiranje cenovne politike i strategije</w:t>
      </w:r>
    </w:p>
    <w:p w:rsidR="000633D6" w:rsidRPr="00DE670C" w:rsidRDefault="000633D6" w:rsidP="00DE670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hAnsi="Helvetica"/>
          <w:sz w:val="22"/>
          <w:szCs w:val="22"/>
          <w:lang w:val="sr-Latn-RS"/>
        </w:rPr>
        <w:t>vodič za definisanje i segmentiranje ciljnog tržišta, uputstvo za istraživanje tržišta korišćenje</w:t>
      </w:r>
      <w:r w:rsidRPr="00DE670C">
        <w:rPr>
          <w:rFonts w:ascii="Helvetica" w:hAnsi="Helvetica"/>
          <w:sz w:val="22"/>
          <w:szCs w:val="22"/>
          <w:lang w:val="sr-Cyrl-RS"/>
        </w:rPr>
        <w:t>м</w:t>
      </w:r>
      <w:r w:rsidRPr="00DE670C">
        <w:rPr>
          <w:rFonts w:ascii="Helvetica" w:hAnsi="Helvetica"/>
          <w:sz w:val="22"/>
          <w:szCs w:val="22"/>
          <w:lang w:val="sr-Latn-RS"/>
        </w:rPr>
        <w:t>;</w:t>
      </w:r>
    </w:p>
    <w:p w:rsidR="000633D6" w:rsidRPr="00DE670C" w:rsidRDefault="000633D6" w:rsidP="00DE670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hAnsi="Helvetica"/>
          <w:sz w:val="22"/>
          <w:szCs w:val="22"/>
          <w:lang w:val="sr-Latn-RS"/>
        </w:rPr>
        <w:t>načine komuniciranja sa ciljnim tržištem, alternativne metode digitalnog marketinga i praćenje uspešnosti kampanje pomoću web-analitike</w:t>
      </w:r>
    </w:p>
    <w:p w:rsidR="000633D6" w:rsidRPr="00DE670C" w:rsidRDefault="000633D6" w:rsidP="00DE670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hAnsi="Helvetica"/>
          <w:sz w:val="22"/>
          <w:szCs w:val="22"/>
          <w:lang w:val="sr-Latn-RS"/>
        </w:rPr>
        <w:t xml:space="preserve">kompletan pregled raspoloživih finansijskih izvora, od tradicionalnih do </w:t>
      </w:r>
      <w:proofErr w:type="spellStart"/>
      <w:r w:rsidRPr="00DE670C">
        <w:rPr>
          <w:rFonts w:ascii="Helvetica" w:hAnsi="Helvetica"/>
          <w:i/>
          <w:iCs/>
          <w:sz w:val="22"/>
          <w:szCs w:val="22"/>
          <w:lang w:val="sr-Latn-RS"/>
        </w:rPr>
        <w:t>crowdfunding</w:t>
      </w:r>
      <w:proofErr w:type="spellEnd"/>
      <w:r w:rsidRPr="00DE670C">
        <w:rPr>
          <w:rFonts w:ascii="Helvetica" w:hAnsi="Helvetica"/>
          <w:sz w:val="22"/>
          <w:szCs w:val="22"/>
          <w:lang w:val="sr-Latn-RS"/>
        </w:rPr>
        <w:t xml:space="preserve"> finansiranja, ključne </w:t>
      </w:r>
      <w:proofErr w:type="spellStart"/>
      <w:r w:rsidRPr="00DE670C">
        <w:rPr>
          <w:rFonts w:ascii="Helvetica" w:hAnsi="Helvetica"/>
          <w:sz w:val="22"/>
          <w:szCs w:val="22"/>
          <w:lang w:val="sr-Latn-RS"/>
        </w:rPr>
        <w:t>instrumenate</w:t>
      </w:r>
      <w:proofErr w:type="spellEnd"/>
      <w:r w:rsidRPr="00DE670C">
        <w:rPr>
          <w:rFonts w:ascii="Helvetica" w:hAnsi="Helvetica"/>
          <w:sz w:val="22"/>
          <w:szCs w:val="22"/>
          <w:lang w:val="sr-Latn-RS"/>
        </w:rPr>
        <w:t xml:space="preserve"> i postupak finansijske analize, uključujući KPI metriku</w:t>
      </w:r>
    </w:p>
    <w:p w:rsidR="000633D6" w:rsidRPr="00DE670C" w:rsidRDefault="000633D6" w:rsidP="00DE670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hAnsi="Helvetica"/>
          <w:sz w:val="22"/>
          <w:szCs w:val="22"/>
          <w:lang w:val="sr-Latn-RS"/>
        </w:rPr>
        <w:t>uputstva za sprovođenje analize okruženja, izvodljivosti i ocenu poslovne šanse, kao i ispitivanje atraktivnosti industrije</w:t>
      </w:r>
    </w:p>
    <w:p w:rsidR="000633D6" w:rsidRPr="00DE670C" w:rsidRDefault="000633D6" w:rsidP="00DE670C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="Helvetica" w:hAnsi="Helvetica"/>
          <w:sz w:val="22"/>
          <w:szCs w:val="22"/>
          <w:lang w:val="sr-Latn-RS"/>
        </w:rPr>
      </w:pPr>
      <w:r w:rsidRPr="00DE670C">
        <w:rPr>
          <w:rFonts w:ascii="Helvetica" w:hAnsi="Helvetica"/>
          <w:sz w:val="22"/>
          <w:szCs w:val="22"/>
          <w:lang w:val="sr-Latn-RS"/>
        </w:rPr>
        <w:t xml:space="preserve">preporuke za izbor poslovnog modela u digitalnom okruženju, </w:t>
      </w:r>
      <w:proofErr w:type="spellStart"/>
      <w:r w:rsidRPr="00DE670C">
        <w:rPr>
          <w:rFonts w:ascii="Helvetica" w:hAnsi="Helvetica"/>
          <w:i/>
          <w:sz w:val="22"/>
          <w:szCs w:val="22"/>
          <w:lang w:val="sr-Latn-RS"/>
        </w:rPr>
        <w:t>Canvas</w:t>
      </w:r>
      <w:proofErr w:type="spellEnd"/>
      <w:r w:rsidRPr="00DE670C">
        <w:rPr>
          <w:rFonts w:ascii="Helvetica" w:hAnsi="Helvetica"/>
          <w:sz w:val="22"/>
          <w:szCs w:val="22"/>
          <w:lang w:val="sr-Latn-RS"/>
        </w:rPr>
        <w:t xml:space="preserve"> pristup i biblioteku od preko 50 savremenih poslovnih modela. </w:t>
      </w:r>
    </w:p>
    <w:p w:rsidR="00D742AA" w:rsidRPr="00DE670C" w:rsidRDefault="00D742AA" w:rsidP="00DE670C">
      <w:pPr>
        <w:pStyle w:val="NormalWeb"/>
        <w:spacing w:before="0" w:beforeAutospacing="0" w:after="0" w:afterAutospacing="0"/>
        <w:jc w:val="both"/>
        <w:rPr>
          <w:rFonts w:ascii="Helvetica" w:hAnsi="Helvetica"/>
          <w:noProof/>
          <w:sz w:val="22"/>
          <w:szCs w:val="22"/>
          <w:lang w:val="sr-Latn-RS"/>
        </w:rPr>
      </w:pPr>
    </w:p>
    <w:p w:rsidR="00D742AA" w:rsidRPr="00DE670C" w:rsidRDefault="00DE670C" w:rsidP="00DE670C">
      <w:pPr>
        <w:jc w:val="both"/>
        <w:rPr>
          <w:rFonts w:ascii="Helvetica" w:hAnsi="Helvetica" w:cs="Times New Roman"/>
          <w:noProof/>
          <w:sz w:val="22"/>
          <w:szCs w:val="22"/>
          <w:lang w:val="sr-Cyrl-RS"/>
        </w:rPr>
      </w:pPr>
      <w:r w:rsidRPr="00DE670C">
        <w:rPr>
          <w:rFonts w:ascii="Helvetica" w:hAnsi="Helvetica"/>
          <w:i/>
          <w:iCs/>
          <w:noProof/>
          <w:sz w:val="22"/>
          <w:szCs w:val="22"/>
          <w:lang w:val="sr-Cyrl-RS"/>
        </w:rPr>
        <w:t>Preduzetništvo</w:t>
      </w:r>
      <w:r w:rsidRPr="00DE670C">
        <w:rPr>
          <w:rFonts w:ascii="Helvetica" w:hAnsi="Helvetica"/>
          <w:noProof/>
          <w:sz w:val="22"/>
          <w:szCs w:val="22"/>
          <w:lang w:val="sr-Cyrl-RS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nudi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istorijsku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retrospektivu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,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politički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diskurs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,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filozofski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kontekst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,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oglede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iz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književnosti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kao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ilustracije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ekonomskih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fenomena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,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kao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i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širi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društveni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i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etički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osvrt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na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egzistencijalnu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i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duhovnu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potrebu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čoveka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da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spozna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i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ostvari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lične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 xml:space="preserve"> </w:t>
      </w:r>
      <w:proofErr w:type="spellStart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potencijale</w:t>
      </w:r>
      <w:proofErr w:type="spellEnd"/>
      <w:r w:rsidRPr="00DE670C">
        <w:rPr>
          <w:rFonts w:ascii="Helvetica" w:eastAsia="Times New Roman" w:hAnsi="Helvetica" w:cs="Times New Roman"/>
          <w:kern w:val="0"/>
          <w:sz w:val="22"/>
          <w:szCs w:val="22"/>
          <w:lang w:val="sr-Cyrl-RS" w:eastAsia="en-GB"/>
          <w14:ligatures w14:val="none"/>
        </w:rPr>
        <w:t>.</w:t>
      </w:r>
    </w:p>
    <w:p w:rsidR="00D742AA" w:rsidRPr="00DE670C" w:rsidRDefault="00D742AA" w:rsidP="00DE670C">
      <w:pPr>
        <w:jc w:val="both"/>
        <w:rPr>
          <w:rFonts w:ascii="Helvetica" w:hAnsi="Helvetica" w:cs="Times New Roman"/>
          <w:noProof/>
          <w:sz w:val="22"/>
          <w:szCs w:val="22"/>
          <w:lang w:val="sr-Cyrl-RS"/>
        </w:rPr>
      </w:pPr>
    </w:p>
    <w:p w:rsidR="00D742AA" w:rsidRPr="00DE670C" w:rsidRDefault="00D742AA" w:rsidP="00DE670C">
      <w:pPr>
        <w:jc w:val="both"/>
        <w:rPr>
          <w:rFonts w:ascii="Helvetica" w:hAnsi="Helvetica" w:cs="Times New Roman"/>
          <w:noProof/>
          <w:sz w:val="22"/>
          <w:szCs w:val="22"/>
          <w:lang w:val="sr-Cyrl-RS"/>
        </w:rPr>
      </w:pPr>
    </w:p>
    <w:p w:rsidR="007164E1" w:rsidRPr="00DE670C" w:rsidRDefault="007164E1" w:rsidP="00DE670C">
      <w:pPr>
        <w:jc w:val="both"/>
        <w:rPr>
          <w:rFonts w:ascii="Helvetica" w:hAnsi="Helvetica" w:cs="Times New Roman"/>
          <w:noProof/>
          <w:sz w:val="22"/>
          <w:szCs w:val="22"/>
          <w:lang w:val="sr-Cyrl-RS"/>
        </w:rPr>
      </w:pPr>
    </w:p>
    <w:sectPr w:rsidR="007164E1" w:rsidRPr="00DE67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1C6"/>
    <w:multiLevelType w:val="hybridMultilevel"/>
    <w:tmpl w:val="FE8CF480"/>
    <w:lvl w:ilvl="0" w:tplc="DFF2DE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B13EF"/>
    <w:multiLevelType w:val="hybridMultilevel"/>
    <w:tmpl w:val="2A928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D0856"/>
    <w:multiLevelType w:val="hybridMultilevel"/>
    <w:tmpl w:val="47AE739E"/>
    <w:lvl w:ilvl="0" w:tplc="A6EEA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055C4"/>
    <w:multiLevelType w:val="hybridMultilevel"/>
    <w:tmpl w:val="1B8C25F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30863"/>
    <w:multiLevelType w:val="hybridMultilevel"/>
    <w:tmpl w:val="C7BC34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850A6"/>
    <w:multiLevelType w:val="hybridMultilevel"/>
    <w:tmpl w:val="B9DEF6F8"/>
    <w:lvl w:ilvl="0" w:tplc="4896F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910069">
    <w:abstractNumId w:val="3"/>
  </w:num>
  <w:num w:numId="2" w16cid:durableId="1930312962">
    <w:abstractNumId w:val="4"/>
  </w:num>
  <w:num w:numId="3" w16cid:durableId="1417630545">
    <w:abstractNumId w:val="5"/>
  </w:num>
  <w:num w:numId="4" w16cid:durableId="2037265080">
    <w:abstractNumId w:val="0"/>
  </w:num>
  <w:num w:numId="5" w16cid:durableId="161438324">
    <w:abstractNumId w:val="2"/>
  </w:num>
  <w:num w:numId="6" w16cid:durableId="1668709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A6"/>
    <w:rsid w:val="000633D6"/>
    <w:rsid w:val="00075673"/>
    <w:rsid w:val="001F089F"/>
    <w:rsid w:val="002B09E8"/>
    <w:rsid w:val="00324691"/>
    <w:rsid w:val="00411605"/>
    <w:rsid w:val="004C6B94"/>
    <w:rsid w:val="005617DE"/>
    <w:rsid w:val="006713A6"/>
    <w:rsid w:val="00685C60"/>
    <w:rsid w:val="007164E1"/>
    <w:rsid w:val="00801E6F"/>
    <w:rsid w:val="008A4E43"/>
    <w:rsid w:val="00AB059E"/>
    <w:rsid w:val="00CE0F42"/>
    <w:rsid w:val="00D70A0E"/>
    <w:rsid w:val="00D742AA"/>
    <w:rsid w:val="00DB5356"/>
    <w:rsid w:val="00DE670C"/>
    <w:rsid w:val="00EB19BB"/>
    <w:rsid w:val="00FC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0A923C21-3970-9842-A4FD-86488B69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13A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DK"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063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Eric Nielsen</dc:creator>
  <cp:keywords/>
  <dc:description/>
  <cp:lastModifiedBy>Jelena Eric Nielsen</cp:lastModifiedBy>
  <cp:revision>4</cp:revision>
  <dcterms:created xsi:type="dcterms:W3CDTF">2025-04-24T08:11:00Z</dcterms:created>
  <dcterms:modified xsi:type="dcterms:W3CDTF">2025-04-24T08:23:00Z</dcterms:modified>
</cp:coreProperties>
</file>